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62031" w14:textId="62FFFD52" w:rsidR="0047408E" w:rsidRPr="00D46A4D" w:rsidRDefault="00E74B37"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#116</w:t>
      </w:r>
      <w:r w:rsidR="006B66B2">
        <w:rPr>
          <w:rFonts w:ascii="Times New Roman" w:hAnsi="Times New Roman"/>
          <w:bCs/>
          <w:sz w:val="24"/>
          <w:szCs w:val="24"/>
          <w:lang w:eastAsia="ja-JP"/>
        </w:rPr>
        <w:t>bis</w:t>
      </w:r>
      <w:r w:rsidR="00483678">
        <w:rPr>
          <w:rFonts w:ascii="Times New Roman" w:hAnsi="Times New Roman"/>
          <w:bCs/>
          <w:sz w:val="24"/>
          <w:szCs w:val="24"/>
          <w:lang w:eastAsia="ja-JP"/>
        </w:rPr>
        <w:t>-e</w:t>
      </w:r>
      <w:r w:rsidR="00124219">
        <w:rPr>
          <w:rFonts w:ascii="Times New Roman" w:hAnsi="Times New Roman"/>
          <w:bCs/>
          <w:sz w:val="24"/>
          <w:szCs w:val="24"/>
          <w:lang w:eastAsia="ja-JP"/>
        </w:rPr>
        <w:tab/>
      </w:r>
      <w:r w:rsidR="00DA2C95" w:rsidRPr="00D46A4D">
        <w:rPr>
          <w:rFonts w:ascii="Times New Roman" w:hAnsi="Times New Roman"/>
          <w:bCs/>
          <w:sz w:val="24"/>
          <w:szCs w:val="24"/>
          <w:lang w:eastAsia="ja-JP"/>
        </w:rPr>
        <w:t>R2-</w:t>
      </w:r>
      <w:r w:rsidR="00DA2C95" w:rsidRPr="00F23632">
        <w:t xml:space="preserve"> </w:t>
      </w:r>
      <w:r w:rsidR="00EA1D1E">
        <w:rPr>
          <w:rFonts w:ascii="Times New Roman" w:hAnsi="Times New Roman"/>
          <w:bCs/>
          <w:sz w:val="24"/>
          <w:szCs w:val="24"/>
          <w:lang w:eastAsia="ja-JP"/>
        </w:rPr>
        <w:t>2</w:t>
      </w:r>
      <w:r w:rsidR="00124219">
        <w:rPr>
          <w:rFonts w:ascii="Times New Roman" w:hAnsi="Times New Roman"/>
          <w:bCs/>
          <w:sz w:val="24"/>
          <w:szCs w:val="24"/>
          <w:lang w:eastAsia="ja-JP"/>
        </w:rPr>
        <w:t>200619</w:t>
      </w:r>
    </w:p>
    <w:p w14:paraId="29CDF947" w14:textId="3E19F81A" w:rsidR="0047408E" w:rsidRPr="00D46A4D" w:rsidRDefault="00483678"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6B66B2">
        <w:rPr>
          <w:rFonts w:ascii="Times New Roman" w:hAnsi="Times New Roman"/>
          <w:bCs/>
          <w:sz w:val="24"/>
          <w:szCs w:val="24"/>
          <w:lang w:eastAsia="ja-JP"/>
        </w:rPr>
        <w:t>January</w:t>
      </w:r>
      <w:r w:rsidR="00DA2C95">
        <w:rPr>
          <w:rFonts w:ascii="Times New Roman" w:hAnsi="Times New Roman"/>
          <w:bCs/>
          <w:sz w:val="24"/>
          <w:szCs w:val="24"/>
          <w:lang w:eastAsia="ja-JP"/>
        </w:rPr>
        <w:t xml:space="preserve"> </w:t>
      </w:r>
      <w:r w:rsidR="00E74B37">
        <w:rPr>
          <w:rFonts w:ascii="Times New Roman" w:hAnsi="Times New Roman"/>
          <w:bCs/>
          <w:sz w:val="24"/>
          <w:szCs w:val="24"/>
          <w:lang w:eastAsia="ja-JP"/>
        </w:rPr>
        <w:t>1</w:t>
      </w:r>
      <w:r w:rsidR="006B66B2">
        <w:rPr>
          <w:rFonts w:ascii="Times New Roman" w:hAnsi="Times New Roman"/>
          <w:bCs/>
          <w:sz w:val="24"/>
          <w:szCs w:val="24"/>
          <w:lang w:eastAsia="ja-JP"/>
        </w:rPr>
        <w:t>7</w:t>
      </w:r>
      <w:r w:rsidR="00033D3F" w:rsidRPr="00FA48D2">
        <w:rPr>
          <w:rFonts w:ascii="Times New Roman" w:hAnsi="Times New Roman"/>
          <w:bCs/>
          <w:sz w:val="24"/>
          <w:szCs w:val="24"/>
          <w:lang w:eastAsia="ja-JP"/>
        </w:rPr>
        <w:t xml:space="preserve"> –</w:t>
      </w:r>
      <w:r w:rsidR="00DA2C95">
        <w:rPr>
          <w:rFonts w:ascii="Times New Roman" w:hAnsi="Times New Roman"/>
          <w:bCs/>
          <w:sz w:val="24"/>
          <w:szCs w:val="24"/>
          <w:lang w:eastAsia="ja-JP"/>
        </w:rPr>
        <w:t xml:space="preserve"> </w:t>
      </w:r>
      <w:r w:rsidR="00E74B37">
        <w:rPr>
          <w:rFonts w:ascii="Times New Roman" w:hAnsi="Times New Roman"/>
          <w:bCs/>
          <w:sz w:val="24"/>
          <w:szCs w:val="24"/>
          <w:lang w:eastAsia="ja-JP"/>
        </w:rPr>
        <w:t>2</w:t>
      </w:r>
      <w:r w:rsidR="006B66B2">
        <w:rPr>
          <w:rFonts w:ascii="Times New Roman" w:hAnsi="Times New Roman"/>
          <w:bCs/>
          <w:sz w:val="24"/>
          <w:szCs w:val="24"/>
          <w:lang w:eastAsia="ja-JP"/>
        </w:rPr>
        <w:t>5, 2022</w:t>
      </w:r>
      <w:r w:rsidR="00B55AED" w:rsidRPr="00D46A4D">
        <w:rPr>
          <w:rFonts w:ascii="Times New Roman" w:hAnsi="Times New Roman"/>
          <w:bCs/>
          <w:sz w:val="24"/>
          <w:szCs w:val="24"/>
          <w:lang w:eastAsia="ja-JP"/>
        </w:rPr>
        <w:tab/>
      </w:r>
      <w:r w:rsidR="00124219">
        <w:rPr>
          <w:rFonts w:ascii="Times New Roman" w:hAnsi="Times New Roman"/>
          <w:bCs/>
          <w:sz w:val="24"/>
          <w:szCs w:val="24"/>
          <w:lang w:eastAsia="ja-JP"/>
        </w:rPr>
        <w:t>(</w:t>
      </w:r>
      <w:r w:rsidR="00CC1FD9">
        <w:rPr>
          <w:rFonts w:ascii="Times New Roman" w:hAnsi="Times New Roman"/>
          <w:bCs/>
          <w:sz w:val="24"/>
          <w:szCs w:val="24"/>
          <w:lang w:eastAsia="ja-JP"/>
        </w:rPr>
        <w:t>Revision</w:t>
      </w:r>
      <w:r w:rsidR="00FD3070">
        <w:rPr>
          <w:rFonts w:ascii="Times New Roman" w:hAnsi="Times New Roman"/>
          <w:bCs/>
          <w:sz w:val="24"/>
          <w:szCs w:val="24"/>
          <w:lang w:eastAsia="ja-JP"/>
        </w:rPr>
        <w:t xml:space="preserve"> of </w:t>
      </w:r>
      <w:r w:rsidR="00FD3070" w:rsidRPr="00D46A4D">
        <w:rPr>
          <w:rFonts w:ascii="Times New Roman" w:hAnsi="Times New Roman"/>
          <w:bCs/>
          <w:sz w:val="24"/>
          <w:szCs w:val="24"/>
          <w:lang w:eastAsia="ja-JP"/>
        </w:rPr>
        <w:t>R2-</w:t>
      </w:r>
      <w:r w:rsidR="00FD3070" w:rsidRPr="00F23632">
        <w:t xml:space="preserve"> </w:t>
      </w:r>
      <w:r w:rsidR="006B66B2" w:rsidRPr="006B66B2">
        <w:rPr>
          <w:rFonts w:ascii="Times New Roman" w:hAnsi="Times New Roman"/>
          <w:bCs/>
          <w:sz w:val="24"/>
          <w:szCs w:val="24"/>
          <w:lang w:eastAsia="ja-JP"/>
        </w:rPr>
        <w:t>2109632</w:t>
      </w:r>
      <w:r w:rsidR="00124219">
        <w:rPr>
          <w:rFonts w:ascii="Times New Roman" w:hAnsi="Times New Roman"/>
          <w:bCs/>
          <w:sz w:val="24"/>
          <w:szCs w:val="24"/>
          <w:lang w:eastAsia="ja-JP"/>
        </w:rPr>
        <w:t>)</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60BE388F"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w:t>
      </w:r>
      <w:r w:rsidR="00CF21A0">
        <w:rPr>
          <w:rFonts w:ascii="Times New Roman" w:hAnsi="Times New Roman"/>
          <w:b/>
          <w:noProof/>
          <w:sz w:val="24"/>
        </w:rPr>
        <w:t>fset for configured grant timer</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4A144A3E" w14:textId="67898385" w:rsidR="00B65177" w:rsidRDefault="00582485" w:rsidP="0016161D">
      <w:pPr>
        <w:overflowPunct/>
        <w:autoSpaceDE/>
        <w:autoSpaceDN/>
        <w:adjustRightInd/>
        <w:spacing w:after="160" w:line="259" w:lineRule="auto"/>
        <w:ind w:right="-99"/>
        <w:jc w:val="left"/>
        <w:textAlignment w:val="auto"/>
      </w:pPr>
      <w:r>
        <w:t>E</w:t>
      </w:r>
      <w:r w:rsidR="003A25CC">
        <w:t xml:space="preserve">xtending the </w:t>
      </w:r>
      <w:proofErr w:type="spellStart"/>
      <w:r w:rsidR="003A25CC">
        <w:t>configuredGrantTimer</w:t>
      </w:r>
      <w:proofErr w:type="spellEnd"/>
      <w:r w:rsidR="003A25CC">
        <w:t xml:space="preserve"> has been discussed du</w:t>
      </w:r>
      <w:r w:rsidR="00300CA7">
        <w:t>ring the online discussion [101]</w:t>
      </w:r>
      <w:r w:rsidR="003A25CC">
        <w:t xml:space="preserve"> and </w:t>
      </w:r>
      <w:r w:rsidR="00F32BA5">
        <w:t xml:space="preserve">the following agreement </w:t>
      </w:r>
      <w:r w:rsidR="0016161D">
        <w:t>has</w:t>
      </w:r>
      <w:r w:rsidR="006F0EB5">
        <w:t xml:space="preserve"> been </w:t>
      </w:r>
      <w:r w:rsidR="003A25CC">
        <w:t>reached</w:t>
      </w:r>
      <w:r w:rsidR="00300CA7">
        <w:t xml:space="preserve"> </w:t>
      </w:r>
      <w:r w:rsidR="00300CA7">
        <w:fldChar w:fldCharType="begin"/>
      </w:r>
      <w:r w:rsidR="00300CA7">
        <w:instrText xml:space="preserve"> REF _Ref91753294 \r \h </w:instrText>
      </w:r>
      <w:r w:rsidR="00300CA7">
        <w:fldChar w:fldCharType="separate"/>
      </w:r>
      <w:r w:rsidR="00300CA7">
        <w:t>[1]</w:t>
      </w:r>
      <w:r w:rsidR="00300CA7">
        <w:fldChar w:fldCharType="end"/>
      </w:r>
      <w:r w:rsidR="00300CA7">
        <w:fldChar w:fldCharType="begin"/>
      </w:r>
      <w:r w:rsidR="00300CA7">
        <w:instrText xml:space="preserve"> REF _Ref91753378 \r \h </w:instrText>
      </w:r>
      <w:r w:rsidR="00300CA7">
        <w:fldChar w:fldCharType="separate"/>
      </w:r>
      <w:r w:rsidR="00300CA7">
        <w:t>[2]</w:t>
      </w:r>
      <w:r w:rsidR="00300CA7">
        <w:fldChar w:fldCharType="end"/>
      </w:r>
      <w:r w:rsidR="00F32BA5">
        <w:t>:</w:t>
      </w:r>
    </w:p>
    <w:tbl>
      <w:tblPr>
        <w:tblStyle w:val="TableGrid"/>
        <w:tblW w:w="0" w:type="auto"/>
        <w:tblLook w:val="04A0" w:firstRow="1" w:lastRow="0" w:firstColumn="1" w:lastColumn="0" w:noHBand="0" w:noVBand="1"/>
      </w:tblPr>
      <w:tblGrid>
        <w:gridCol w:w="10456"/>
      </w:tblGrid>
      <w:tr w:rsidR="0016161D" w14:paraId="03CC1F10" w14:textId="77777777" w:rsidTr="0016161D">
        <w:tc>
          <w:tcPr>
            <w:tcW w:w="10456" w:type="dxa"/>
          </w:tcPr>
          <w:p w14:paraId="7BC2EAD7" w14:textId="77777777" w:rsidR="0016161D" w:rsidRDefault="0016161D" w:rsidP="0016161D">
            <w:pPr>
              <w:overflowPunct/>
              <w:autoSpaceDE/>
              <w:autoSpaceDN/>
              <w:adjustRightInd/>
              <w:spacing w:after="160" w:line="259" w:lineRule="auto"/>
              <w:ind w:right="-99"/>
              <w:jc w:val="left"/>
              <w:textAlignment w:val="auto"/>
            </w:pPr>
            <w:r>
              <w:rPr>
                <w:b/>
              </w:rPr>
              <w:t>RAN2#116</w:t>
            </w:r>
            <w:r w:rsidRPr="006F0EB5">
              <w:rPr>
                <w:b/>
              </w:rPr>
              <w:t>e:</w:t>
            </w:r>
          </w:p>
          <w:p w14:paraId="5C1DF1A5" w14:textId="7FB83090" w:rsidR="0016161D" w:rsidRPr="002B3CC5" w:rsidRDefault="0016161D" w:rsidP="0016161D">
            <w:pPr>
              <w:pStyle w:val="ListParagraph"/>
              <w:numPr>
                <w:ilvl w:val="0"/>
                <w:numId w:val="49"/>
              </w:numPr>
              <w:overflowPunct/>
              <w:autoSpaceDE/>
              <w:autoSpaceDN/>
              <w:adjustRightInd/>
              <w:spacing w:after="160" w:line="259" w:lineRule="auto"/>
              <w:ind w:right="-99"/>
              <w:jc w:val="left"/>
              <w:textAlignment w:val="auto"/>
              <w:rPr>
                <w:i/>
              </w:rPr>
            </w:pPr>
            <w:proofErr w:type="spellStart"/>
            <w:r w:rsidRPr="002B3CC5">
              <w:rPr>
                <w:i/>
              </w:rPr>
              <w:t>configuredGrantTimer</w:t>
            </w:r>
            <w:proofErr w:type="spellEnd"/>
            <w:r w:rsidRPr="002B3CC5">
              <w:rPr>
                <w:i/>
              </w:rPr>
              <w:t xml:space="preserve"> can be extended in NTN. FFS details of when extension is applicable and method of </w:t>
            </w:r>
            <w:proofErr w:type="spellStart"/>
            <w:r w:rsidRPr="002B3CC5">
              <w:rPr>
                <w:i/>
              </w:rPr>
              <w:t>extention</w:t>
            </w:r>
            <w:proofErr w:type="spellEnd"/>
            <w:r w:rsidRPr="002B3CC5">
              <w:rPr>
                <w:i/>
              </w:rPr>
              <w:t>.</w:t>
            </w:r>
          </w:p>
        </w:tc>
      </w:tr>
    </w:tbl>
    <w:p w14:paraId="166C967A" w14:textId="77777777" w:rsidR="0016161D" w:rsidRDefault="0016161D" w:rsidP="003A25CC">
      <w:pPr>
        <w:overflowPunct/>
        <w:autoSpaceDE/>
        <w:autoSpaceDN/>
        <w:adjustRightInd/>
        <w:spacing w:after="160" w:line="259" w:lineRule="auto"/>
        <w:ind w:right="-99"/>
        <w:jc w:val="left"/>
        <w:textAlignment w:val="auto"/>
      </w:pPr>
    </w:p>
    <w:p w14:paraId="299F5F14" w14:textId="21877171" w:rsidR="00B65177" w:rsidRDefault="00B65177" w:rsidP="003A25CC">
      <w:pPr>
        <w:overflowPunct/>
        <w:autoSpaceDE/>
        <w:autoSpaceDN/>
        <w:adjustRightInd/>
        <w:spacing w:after="160" w:line="259" w:lineRule="auto"/>
        <w:ind w:right="-99"/>
        <w:jc w:val="left"/>
        <w:textAlignment w:val="auto"/>
      </w:pPr>
      <w:r>
        <w:t xml:space="preserve">We also note </w:t>
      </w:r>
      <w:r w:rsidR="006F703F">
        <w:t>the following agreement</w:t>
      </w:r>
      <w:r>
        <w:t xml:space="preserve"> </w:t>
      </w:r>
      <w:r w:rsidR="006F703F">
        <w:t>on</w:t>
      </w:r>
      <w:r>
        <w:t xml:space="preserve"> TA reporting in RRC Connected mode</w:t>
      </w:r>
      <w:r w:rsidR="00300CA7">
        <w:t xml:space="preserve"> </w:t>
      </w:r>
      <w:r w:rsidR="00300CA7">
        <w:fldChar w:fldCharType="begin"/>
      </w:r>
      <w:r w:rsidR="00300CA7">
        <w:instrText xml:space="preserve"> REF _Ref91753326 \r \h </w:instrText>
      </w:r>
      <w:r w:rsidR="00300CA7">
        <w:fldChar w:fldCharType="separate"/>
      </w:r>
      <w:r w:rsidR="00300CA7">
        <w:t>[3]</w:t>
      </w:r>
      <w:r w:rsidR="00300CA7">
        <w:fldChar w:fldCharType="end"/>
      </w:r>
      <w:r>
        <w:t>:</w:t>
      </w:r>
    </w:p>
    <w:tbl>
      <w:tblPr>
        <w:tblStyle w:val="TableGrid"/>
        <w:tblW w:w="0" w:type="auto"/>
        <w:tblLook w:val="04A0" w:firstRow="1" w:lastRow="0" w:firstColumn="1" w:lastColumn="0" w:noHBand="0" w:noVBand="1"/>
      </w:tblPr>
      <w:tblGrid>
        <w:gridCol w:w="10456"/>
      </w:tblGrid>
      <w:tr w:rsidR="00B65177" w14:paraId="56BACD27" w14:textId="77777777" w:rsidTr="00B65177">
        <w:tc>
          <w:tcPr>
            <w:tcW w:w="10456" w:type="dxa"/>
          </w:tcPr>
          <w:p w14:paraId="7CA0ADEB" w14:textId="199D61E1" w:rsidR="00B65177" w:rsidRDefault="00B65177" w:rsidP="003A25CC">
            <w:pPr>
              <w:overflowPunct/>
              <w:autoSpaceDE/>
              <w:autoSpaceDN/>
              <w:adjustRightInd/>
              <w:spacing w:after="160" w:line="259" w:lineRule="auto"/>
              <w:ind w:right="-99"/>
              <w:jc w:val="left"/>
              <w:textAlignment w:val="auto"/>
            </w:pPr>
            <w:r>
              <w:rPr>
                <w:b/>
              </w:rPr>
              <w:t>RAN2#115</w:t>
            </w:r>
            <w:r w:rsidRPr="006F0EB5">
              <w:rPr>
                <w:b/>
              </w:rPr>
              <w:t>e:</w:t>
            </w:r>
          </w:p>
          <w:p w14:paraId="1E08E80C" w14:textId="3748BDA8" w:rsidR="00B65177" w:rsidRPr="002B3CC5" w:rsidRDefault="00B65177" w:rsidP="009F26C3">
            <w:pPr>
              <w:pStyle w:val="ListParagraph"/>
              <w:numPr>
                <w:ilvl w:val="0"/>
                <w:numId w:val="49"/>
              </w:numPr>
              <w:overflowPunct/>
              <w:autoSpaceDE/>
              <w:autoSpaceDN/>
              <w:adjustRightInd/>
              <w:spacing w:after="160" w:line="259" w:lineRule="auto"/>
              <w:ind w:right="-99"/>
              <w:jc w:val="left"/>
              <w:textAlignment w:val="auto"/>
              <w:rPr>
                <w:i/>
              </w:rPr>
            </w:pPr>
            <w:r w:rsidRPr="002B3CC5">
              <w:rPr>
                <w:i/>
              </w:rPr>
              <w:t>Reporting on the information about UE specific TA in connected mode is supported, FFS via RRC signalling or MAC CE</w:t>
            </w:r>
          </w:p>
        </w:tc>
      </w:tr>
    </w:tbl>
    <w:p w14:paraId="702721AD" w14:textId="77777777" w:rsidR="00B65177" w:rsidRDefault="00B65177" w:rsidP="003A25CC">
      <w:pPr>
        <w:overflowPunct/>
        <w:autoSpaceDE/>
        <w:autoSpaceDN/>
        <w:adjustRightInd/>
        <w:spacing w:after="160" w:line="259" w:lineRule="auto"/>
        <w:ind w:right="-99"/>
        <w:jc w:val="left"/>
        <w:textAlignment w:val="auto"/>
      </w:pPr>
    </w:p>
    <w:p w14:paraId="5C2C9B81" w14:textId="27C67FF3"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w:t>
      </w:r>
      <w:r w:rsidR="003A25CC">
        <w:t xml:space="preserve">extension of </w:t>
      </w:r>
      <w:r w:rsidR="005F28FA">
        <w:t>the</w:t>
      </w:r>
      <w:r w:rsidR="001318E9">
        <w:t xml:space="preserve"> </w:t>
      </w:r>
      <w:r w:rsidR="00C6519F">
        <w:t xml:space="preserve">configured grant </w:t>
      </w:r>
      <w:r w:rsidR="006D5C24">
        <w:t>timer</w:t>
      </w:r>
      <w:r w:rsidR="003A25CC">
        <w:t xml:space="preserve"> in NTN with the round trip time (RTT)</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w:t>
      </w:r>
      <w:proofErr w:type="spellStart"/>
      <w:r>
        <w:t>gNB</w:t>
      </w:r>
      <w:proofErr w:type="spellEnd"/>
      <w:r>
        <w:t xml:space="preserve">,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proofErr w:type="spellStart"/>
      <w:r w:rsidR="00A51F5B">
        <w:t>ra</w:t>
      </w:r>
      <w:r>
        <w:t>-</w:t>
      </w:r>
      <w:r w:rsidR="00A51F5B">
        <w:t>ResponseWindow</w:t>
      </w:r>
      <w:proofErr w:type="spellEnd"/>
      <w:r w:rsidR="00A51F5B">
        <w:t xml:space="preserve">, </w:t>
      </w:r>
      <w:proofErr w:type="spellStart"/>
      <w:r w:rsidR="00A51F5B">
        <w:t>m</w:t>
      </w:r>
      <w:r>
        <w:t>sgB-</w:t>
      </w:r>
      <w:r w:rsidR="00A51F5B">
        <w:t>R</w:t>
      </w:r>
      <w:r w:rsidR="00C6519F">
        <w:t>esponseW</w:t>
      </w:r>
      <w:r>
        <w:t>indow</w:t>
      </w:r>
      <w:proofErr w:type="spellEnd"/>
      <w:r>
        <w:t xml:space="preserve">, and </w:t>
      </w:r>
      <w:proofErr w:type="spellStart"/>
      <w:r w:rsidR="00A51F5B">
        <w:t>ra-ContentionResolutionT</w:t>
      </w:r>
      <w:r>
        <w:t>imer</w:t>
      </w:r>
      <w:proofErr w:type="spellEnd"/>
      <w:r>
        <w:t>.</w:t>
      </w:r>
    </w:p>
    <w:p w14:paraId="0D85EBD6" w14:textId="0003E7B3" w:rsidR="00651A30" w:rsidRDefault="005133A0" w:rsidP="00552344">
      <w:r>
        <w:t>In Rel-15 and Rel-16, w</w:t>
      </w:r>
      <w:r w:rsidR="00651A30">
        <w:t>hen a transmission is perfor</w:t>
      </w:r>
      <w:r w:rsidR="002516F7">
        <w:t>med on a HARQ process using a configured grant (CG)</w:t>
      </w:r>
      <w:r w:rsidR="00651A30">
        <w:t xml:space="preserve">, </w:t>
      </w:r>
      <w:proofErr w:type="spellStart"/>
      <w:r w:rsidR="003A25CC">
        <w:t>configuredGrantTimer</w:t>
      </w:r>
      <w:proofErr w:type="spellEnd"/>
      <w:r w:rsidR="00651A30">
        <w:t xml:space="preserve"> is started, if configured. While </w:t>
      </w:r>
      <w:proofErr w:type="spellStart"/>
      <w:r w:rsidR="003A25CC">
        <w:t>configuredGrantTimer</w:t>
      </w:r>
      <w:proofErr w:type="spellEnd"/>
      <w:r w:rsidR="003A25CC">
        <w:t xml:space="preserve"> </w:t>
      </w:r>
      <w:r w:rsidR="00651A30">
        <w:t xml:space="preserve">is running, the HARQ process cannot be overwritten by new data. </w:t>
      </w:r>
      <w:proofErr w:type="spellStart"/>
      <w:r w:rsidR="003A25CC">
        <w:t>configuredGrantTimer</w:t>
      </w:r>
      <w:proofErr w:type="spellEnd"/>
      <w:r w:rsidR="003A25CC">
        <w:t xml:space="preserve"> </w:t>
      </w:r>
      <w:r w:rsidR="00C9046D">
        <w:t xml:space="preserve">value </w:t>
      </w:r>
      <w:r w:rsidR="00651A30">
        <w:t xml:space="preserve">is normally </w:t>
      </w:r>
      <w:r w:rsidR="00C9046D">
        <w:t>determined</w:t>
      </w:r>
      <w:r w:rsidR="00651A30">
        <w:t xml:space="preserve"> considering the delay it takes for the UE to receive an </w:t>
      </w:r>
      <w:r>
        <w:t xml:space="preserve">UL </w:t>
      </w:r>
      <w:r w:rsidR="009F26C3">
        <w:t xml:space="preserve">retransmission </w:t>
      </w:r>
      <w:r>
        <w:t xml:space="preserve">grant </w:t>
      </w:r>
      <w:r w:rsidR="009F26C3">
        <w:t>(</w:t>
      </w:r>
      <w:r>
        <w:t>addressed with CS-RNTI</w:t>
      </w:r>
      <w:r w:rsidR="009F26C3">
        <w:t>)</w:t>
      </w:r>
      <w:r w:rsidR="00651A30">
        <w:t xml:space="preserve"> from the network. If the </w:t>
      </w:r>
      <w:proofErr w:type="spellStart"/>
      <w:r w:rsidR="003A25CC">
        <w:t>configuredGrantTimer</w:t>
      </w:r>
      <w:proofErr w:type="spellEnd"/>
      <w:r w:rsidR="003A25CC">
        <w:t xml:space="preserve"> value </w:t>
      </w:r>
      <w:r w:rsidR="00651A30">
        <w:t xml:space="preserve">is large, HARQ processes will be waiting for potential UL retransmission grants for a longer </w:t>
      </w:r>
      <w:r w:rsidR="007D1B5B">
        <w:t>time period</w:t>
      </w:r>
      <w:r w:rsidR="00651A30">
        <w:t>.</w:t>
      </w:r>
    </w:p>
    <w:p w14:paraId="3CEFEF5A" w14:textId="230810C0" w:rsidR="00651A30" w:rsidRDefault="00651A30" w:rsidP="00552344">
      <w:r>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w:t>
      </w:r>
      <w:r w:rsidR="007D1B5B">
        <w:t xml:space="preserve"> </w:t>
      </w:r>
      <w:proofErr w:type="spellStart"/>
      <w:r w:rsidR="00C40D72">
        <w:t>ms</w:t>
      </w:r>
      <w:proofErr w:type="spellEnd"/>
      <w:r w:rsidR="00C40D72">
        <w:t xml:space="preserve"> for GEO, 3.12</w:t>
      </w:r>
      <w:r w:rsidR="007D1B5B">
        <w:t xml:space="preserve"> </w:t>
      </w:r>
      <w:proofErr w:type="spellStart"/>
      <w:r w:rsidR="00C40D72">
        <w:t>ms</w:t>
      </w:r>
      <w:proofErr w:type="spellEnd"/>
      <w:r w:rsidR="00C40D72">
        <w:t xml:space="preserve"> for LEO at an orbit of 600km, and 3.18</w:t>
      </w:r>
      <w:r w:rsidR="007D1B5B">
        <w:t xml:space="preserve"> </w:t>
      </w:r>
      <w:proofErr w:type="spellStart"/>
      <w:r w:rsidR="00C40D72">
        <w:t>ms</w:t>
      </w:r>
      <w:proofErr w:type="spellEnd"/>
      <w:r w:rsidR="00C40D72">
        <w:t xml:space="preserve"> for LEO at an orbit of 1200km.</w:t>
      </w:r>
    </w:p>
    <w:p w14:paraId="557F6676" w14:textId="02DA8E69" w:rsidR="00651A30" w:rsidRDefault="00AB7D70" w:rsidP="00552344">
      <w:r>
        <w:t xml:space="preserve">When configuring the </w:t>
      </w:r>
      <w:proofErr w:type="spellStart"/>
      <w:r w:rsidR="003A25CC">
        <w:t>configuredGrantTimer</w:t>
      </w:r>
      <w:proofErr w:type="spellEnd"/>
      <w:r w:rsidR="003A25CC">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2B1003E8" w:rsidR="00A93AFE" w:rsidRPr="00A93AFE" w:rsidRDefault="00A93AFE" w:rsidP="00552344">
      <w:pPr>
        <w:rPr>
          <w:b/>
        </w:rPr>
      </w:pPr>
      <w:r w:rsidRPr="00A93AFE">
        <w:rPr>
          <w:b/>
        </w:rPr>
        <w:t>Observation</w:t>
      </w:r>
      <w:r w:rsidR="00B42C2E">
        <w:rPr>
          <w:b/>
        </w:rPr>
        <w:t xml:space="preserve"> 1</w:t>
      </w:r>
      <w:r w:rsidRPr="00A93AFE">
        <w:rPr>
          <w:b/>
        </w:rPr>
        <w:t xml:space="preserve">: </w:t>
      </w:r>
      <w:r>
        <w:rPr>
          <w:b/>
        </w:rPr>
        <w:t>If</w:t>
      </w:r>
      <w:r w:rsidRPr="00A93AFE">
        <w:rPr>
          <w:b/>
        </w:rPr>
        <w:t xml:space="preserve"> the </w:t>
      </w:r>
      <w:proofErr w:type="spellStart"/>
      <w:r w:rsidR="003A25CC" w:rsidRPr="003A25CC">
        <w:rPr>
          <w:b/>
        </w:rPr>
        <w:t>configuredGrantTimer</w:t>
      </w:r>
      <w:proofErr w:type="spellEnd"/>
      <w:r w:rsidR="003A25CC">
        <w:t xml:space="preserve"> </w:t>
      </w:r>
      <w:r w:rsidR="00F26B4B">
        <w:rPr>
          <w:b/>
        </w:rPr>
        <w:t>value is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1EDAC87E" w:rsidR="00651A30" w:rsidRDefault="004506C7" w:rsidP="00552344">
      <w:r>
        <w:t>Alternatively</w:t>
      </w:r>
      <w:r w:rsidR="00651A30">
        <w:t xml:space="preserve">, each UE could apply its individual pre-compensation offset to the </w:t>
      </w:r>
      <w:proofErr w:type="spellStart"/>
      <w:r w:rsidR="003A25CC">
        <w:t>configuredGrantTimer</w:t>
      </w:r>
      <w:proofErr w:type="spellEnd"/>
      <w:r w:rsidR="00651A30">
        <w:t xml:space="preserve">. For example, a base </w:t>
      </w:r>
      <w:proofErr w:type="spellStart"/>
      <w:r w:rsidR="003A25CC">
        <w:t>configuredGrantTimer</w:t>
      </w:r>
      <w:proofErr w:type="spellEnd"/>
      <w:r w:rsidR="003A25CC">
        <w:t xml:space="preserve"> </w:t>
      </w:r>
      <w:r w:rsidR="00651A30">
        <w:t xml:space="preserve">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xml:space="preserve">. Each UE could add the UE specific RTD to the base </w:t>
      </w:r>
      <w:proofErr w:type="spellStart"/>
      <w:r w:rsidR="009F3A2C">
        <w:t>configuredGrantTimer</w:t>
      </w:r>
      <w:proofErr w:type="spellEnd"/>
      <w:r w:rsidR="009F3A2C">
        <w:t xml:space="preserve"> </w:t>
      </w:r>
      <w:r w:rsidR="00651A30">
        <w:t>value.</w:t>
      </w:r>
      <w:r w:rsidR="00A93AFE">
        <w:t xml:space="preserve"> As illustrated in </w:t>
      </w:r>
      <w:r w:rsidR="00A93AFE">
        <w:fldChar w:fldCharType="begin"/>
      </w:r>
      <w:r w:rsidR="00A93AFE">
        <w:instrText xml:space="preserve"> REF _Ref54169901 \h </w:instrText>
      </w:r>
      <w:r w:rsidR="00A93AFE">
        <w:fldChar w:fldCharType="separate"/>
      </w:r>
      <w:r w:rsidR="0067042D">
        <w:t xml:space="preserve">Figure </w:t>
      </w:r>
      <w:r w:rsidR="0067042D">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eastAsia="zh-CN"/>
        </w:rPr>
        <w:lastRenderedPageBreak/>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2"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67042D">
        <w:rPr>
          <w:noProof/>
        </w:rPr>
        <w:t>1</w:t>
      </w:r>
      <w:r w:rsidR="00CA7F2D">
        <w:rPr>
          <w:noProof/>
        </w:rPr>
        <w:fldChar w:fldCharType="end"/>
      </w:r>
      <w:bookmarkEnd w:id="2"/>
      <w:r>
        <w:t xml:space="preserve"> Large/small RTD impact on CGT</w:t>
      </w:r>
    </w:p>
    <w:p w14:paraId="73485691" w14:textId="6C92634A" w:rsidR="00412D22" w:rsidRDefault="003A6785" w:rsidP="00552344">
      <w:r>
        <w:t>In</w:t>
      </w:r>
      <w:r w:rsidR="006D5C24">
        <w:t xml:space="preserve"> </w:t>
      </w:r>
      <w:r w:rsidR="00E777C7">
        <w:t>NTN,</w:t>
      </w:r>
      <w:r w:rsidR="006D5C24">
        <w:t xml:space="preserve"> configured grants with </w:t>
      </w:r>
      <w:r>
        <w:t>short</w:t>
      </w:r>
      <w:r w:rsidR="006D5C24">
        <w:t xml:space="preserve"> periodicity and small transport block size could be useful in NTN to transmit the BSR MAC CE to network as quickly as possible, </w:t>
      </w:r>
      <w:r w:rsidR="00C44BAE">
        <w:t xml:space="preserve">therefore </w:t>
      </w:r>
      <w:r w:rsidR="006D5C24">
        <w:t xml:space="preserve">reducing the delay in informing the network on the buffer status of the UE (compared to an SR-BSR sequence). </w:t>
      </w:r>
      <w:r w:rsidR="005C488F">
        <w:t>I</w:t>
      </w:r>
      <w:r>
        <w:t>n such a scenario, i</w:t>
      </w:r>
      <w:r w:rsidR="006D5C24">
        <w:t>t could be beneficial to differentiate between far and near UEs and improve t</w:t>
      </w:r>
      <w:r w:rsidR="00C44BAE">
        <w:t xml:space="preserve">he availability of CG resources </w:t>
      </w:r>
      <w:r w:rsidR="006D5C24">
        <w:t>as much as possible.</w:t>
      </w:r>
    </w:p>
    <w:p w14:paraId="584FFA71" w14:textId="2072A264" w:rsidR="006D5C24" w:rsidRPr="006D5C24" w:rsidRDefault="00A914BB" w:rsidP="00552344">
      <w:pPr>
        <w:rPr>
          <w:b/>
        </w:rPr>
      </w:pPr>
      <w:r>
        <w:rPr>
          <w:b/>
        </w:rPr>
        <w:t>Observation</w:t>
      </w:r>
      <w:r w:rsidR="00B42C2E">
        <w:rPr>
          <w:b/>
        </w:rPr>
        <w:t xml:space="preserve"> 2</w:t>
      </w:r>
      <w:r w:rsidR="006D5C24" w:rsidRPr="006D5C24">
        <w:rPr>
          <w:b/>
        </w:rPr>
        <w:t xml:space="preserve">: When CG resources with </w:t>
      </w:r>
      <w:r w:rsidR="003A6785">
        <w:rPr>
          <w:b/>
        </w:rPr>
        <w:t>short</w:t>
      </w:r>
      <w:r w:rsidR="006D5C24" w:rsidRPr="006D5C24">
        <w:rPr>
          <w:b/>
        </w:rPr>
        <w:t xml:space="preserve"> periodicity and small TBS are </w:t>
      </w:r>
      <w:r w:rsidR="00025F62">
        <w:rPr>
          <w:b/>
        </w:rPr>
        <w:t>utilized for reducing</w:t>
      </w:r>
      <w:r w:rsidR="006D5C24" w:rsidRPr="006D5C24">
        <w:rPr>
          <w:b/>
        </w:rPr>
        <w:t xml:space="preserve"> the latency for transmitting BSR, differentiating between far and near UEs could </w:t>
      </w:r>
      <w:r w:rsidR="003A6785">
        <w:rPr>
          <w:b/>
        </w:rPr>
        <w:t>further</w:t>
      </w:r>
      <w:r w:rsidR="006D5C24" w:rsidRPr="006D5C24">
        <w:rPr>
          <w:b/>
        </w:rPr>
        <w:t xml:space="preserve"> im</w:t>
      </w:r>
      <w:r w:rsidR="003A6785">
        <w:rPr>
          <w:b/>
        </w:rPr>
        <w:t>prove</w:t>
      </w:r>
      <w:r w:rsidR="006D5C24" w:rsidRPr="006D5C24">
        <w:rPr>
          <w:b/>
        </w:rPr>
        <w:t xml:space="preserve"> the CG resource availability.</w:t>
      </w:r>
    </w:p>
    <w:p w14:paraId="417515B4" w14:textId="1EA341AC" w:rsidR="00A914BB" w:rsidRDefault="00A914BB" w:rsidP="00552344">
      <w:r>
        <w:t>During the email discussion</w:t>
      </w:r>
      <w:r w:rsidR="008158CE">
        <w:t xml:space="preserve"> [101]</w:t>
      </w:r>
      <w:r>
        <w:t xml:space="preserve"> in RAN2#116e meeting, companies voiced concerns about the network having to keep track of the UE-</w:t>
      </w:r>
      <w:proofErr w:type="spellStart"/>
      <w:r>
        <w:t>gNB</w:t>
      </w:r>
      <w:proofErr w:type="spellEnd"/>
      <w:r>
        <w:t xml:space="preserve"> RTT, so that the UE and the network have the same understanding regarding the duration of the </w:t>
      </w:r>
      <w:proofErr w:type="spellStart"/>
      <w:r w:rsidRPr="00A914BB">
        <w:t>configuredGrantTimer</w:t>
      </w:r>
      <w:proofErr w:type="spellEnd"/>
      <w:r>
        <w:t xml:space="preserve">. However, according to </w:t>
      </w:r>
      <w:r w:rsidR="005C488F">
        <w:t xml:space="preserve">the </w:t>
      </w:r>
      <w:r w:rsidR="006927C4">
        <w:t>RAN2#115e agreement</w:t>
      </w:r>
      <w:r w:rsidR="000860F7">
        <w:t xml:space="preserve"> quoted above</w:t>
      </w:r>
      <w:r>
        <w:t xml:space="preserve">, in RRC Connected mode, the UE will update the network </w:t>
      </w:r>
      <w:r w:rsidR="005C488F">
        <w:t>about the UE-</w:t>
      </w:r>
      <w:proofErr w:type="spellStart"/>
      <w:r w:rsidR="005C488F">
        <w:t>gNB</w:t>
      </w:r>
      <w:proofErr w:type="spellEnd"/>
      <w:r w:rsidR="005C488F">
        <w:t xml:space="preserve"> RTT </w:t>
      </w:r>
      <w:r w:rsidR="002B3CC5">
        <w:t>using</w:t>
      </w:r>
      <w:r>
        <w:t xml:space="preserve"> TA report</w:t>
      </w:r>
      <w:r w:rsidR="002B3CC5">
        <w:t>ing mechanism</w:t>
      </w:r>
      <w:r>
        <w:t>, therefore the UE and the network will be in sync</w:t>
      </w:r>
      <w:r w:rsidR="005C488F">
        <w:t xml:space="preserve"> with </w:t>
      </w:r>
      <w:r w:rsidR="00093591">
        <w:t>respect</w:t>
      </w:r>
      <w:r w:rsidR="000860F7">
        <w:t xml:space="preserve"> to the UE-</w:t>
      </w:r>
      <w:proofErr w:type="spellStart"/>
      <w:r w:rsidR="000860F7">
        <w:t>gNB</w:t>
      </w:r>
      <w:proofErr w:type="spellEnd"/>
      <w:r w:rsidR="000860F7">
        <w:t xml:space="preserve"> RTT</w:t>
      </w:r>
      <w:r>
        <w:t>.</w:t>
      </w:r>
    </w:p>
    <w:p w14:paraId="43CE73DB" w14:textId="69C0307D" w:rsidR="00A914BB" w:rsidRPr="00A914BB" w:rsidRDefault="00A914BB" w:rsidP="00552344">
      <w:pPr>
        <w:rPr>
          <w:b/>
        </w:rPr>
      </w:pPr>
      <w:r w:rsidRPr="00A914BB">
        <w:rPr>
          <w:b/>
        </w:rPr>
        <w:t>Observation</w:t>
      </w:r>
      <w:r w:rsidR="00B42C2E">
        <w:rPr>
          <w:b/>
        </w:rPr>
        <w:t xml:space="preserve"> 3</w:t>
      </w:r>
      <w:r w:rsidRPr="00A914BB">
        <w:rPr>
          <w:b/>
        </w:rPr>
        <w:t xml:space="preserve">: In </w:t>
      </w:r>
      <w:r w:rsidR="005C488F">
        <w:rPr>
          <w:b/>
        </w:rPr>
        <w:t xml:space="preserve">RRC </w:t>
      </w:r>
      <w:r w:rsidRPr="00A914BB">
        <w:rPr>
          <w:b/>
        </w:rPr>
        <w:t xml:space="preserve">Connected mode, the UE and the network </w:t>
      </w:r>
      <w:r w:rsidR="00A72278">
        <w:rPr>
          <w:b/>
        </w:rPr>
        <w:t>are</w:t>
      </w:r>
      <w:r w:rsidRPr="00A914BB">
        <w:rPr>
          <w:b/>
        </w:rPr>
        <w:t xml:space="preserve"> </w:t>
      </w:r>
      <w:r w:rsidR="00381F41">
        <w:rPr>
          <w:b/>
        </w:rPr>
        <w:t>sync</w:t>
      </w:r>
      <w:r w:rsidR="00833590">
        <w:rPr>
          <w:b/>
        </w:rPr>
        <w:t>hronized</w:t>
      </w:r>
      <w:r w:rsidR="005C488F">
        <w:rPr>
          <w:b/>
        </w:rPr>
        <w:t xml:space="preserve"> with </w:t>
      </w:r>
      <w:r w:rsidR="004E2065">
        <w:rPr>
          <w:b/>
        </w:rPr>
        <w:t>respect</w:t>
      </w:r>
      <w:r w:rsidR="005C488F">
        <w:rPr>
          <w:b/>
        </w:rPr>
        <w:t xml:space="preserve"> to UE-</w:t>
      </w:r>
      <w:proofErr w:type="spellStart"/>
      <w:r w:rsidR="005C488F">
        <w:rPr>
          <w:b/>
        </w:rPr>
        <w:t>gNB</w:t>
      </w:r>
      <w:proofErr w:type="spellEnd"/>
      <w:r w:rsidR="005C488F">
        <w:rPr>
          <w:b/>
        </w:rPr>
        <w:t xml:space="preserve"> RTT</w:t>
      </w:r>
      <w:r w:rsidRPr="00A914BB">
        <w:rPr>
          <w:b/>
        </w:rPr>
        <w:t xml:space="preserve"> via the TA report</w:t>
      </w:r>
      <w:r w:rsidR="005C488F">
        <w:rPr>
          <w:b/>
        </w:rPr>
        <w:t>ing</w:t>
      </w:r>
      <w:r w:rsidRPr="00A914BB">
        <w:rPr>
          <w:b/>
        </w:rPr>
        <w:t xml:space="preserve"> mechanism.</w:t>
      </w:r>
    </w:p>
    <w:p w14:paraId="29D01CF4" w14:textId="2F316546" w:rsidR="00A93AFE" w:rsidRDefault="006D5C24" w:rsidP="00552344">
      <w:r>
        <w:t>Based on the observation</w:t>
      </w:r>
      <w:r w:rsidR="00E768D4">
        <w:t>s</w:t>
      </w:r>
      <w:r w:rsidR="005C6F4B">
        <w:t xml:space="preserve"> above, we</w:t>
      </w:r>
      <w:r w:rsidR="00A93AFE">
        <w:t xml:space="preserve"> make the following proposal </w:t>
      </w:r>
      <w:r w:rsidR="00093591">
        <w:t>for</w:t>
      </w:r>
      <w:r w:rsidR="00A93AFE">
        <w:t xml:space="preserve"> the </w:t>
      </w:r>
      <w:proofErr w:type="spellStart"/>
      <w:r w:rsidR="009F3A2C" w:rsidRPr="00A914BB">
        <w:t>configuredGrantTimer</w:t>
      </w:r>
      <w:proofErr w:type="spellEnd"/>
      <w:r w:rsidR="009F3A2C">
        <w:t xml:space="preserve"> </w:t>
      </w:r>
      <w:r w:rsidR="00A93AFE">
        <w:t>in NTN:</w:t>
      </w:r>
    </w:p>
    <w:p w14:paraId="3E6694F2" w14:textId="24D1425F" w:rsidR="009F3A2C" w:rsidRPr="009F3A2C" w:rsidRDefault="0002208B" w:rsidP="00552344">
      <w:pPr>
        <w:rPr>
          <w:b/>
        </w:rPr>
      </w:pPr>
      <w:r w:rsidRPr="009F3A2C">
        <w:rPr>
          <w:b/>
        </w:rPr>
        <w:t>Proposal:</w:t>
      </w:r>
      <w:r w:rsidR="001318E9" w:rsidRPr="009F3A2C">
        <w:rPr>
          <w:b/>
        </w:rPr>
        <w:t xml:space="preserve"> </w:t>
      </w:r>
      <w:r w:rsidR="009F3A2C" w:rsidRPr="009F3A2C">
        <w:rPr>
          <w:b/>
        </w:rPr>
        <w:t xml:space="preserve">Value of the </w:t>
      </w:r>
      <w:proofErr w:type="spellStart"/>
      <w:r w:rsidR="009F3A2C" w:rsidRPr="009F3A2C">
        <w:rPr>
          <w:b/>
        </w:rPr>
        <w:t>configuredGrantTimer</w:t>
      </w:r>
      <w:proofErr w:type="spellEnd"/>
      <w:r w:rsidR="009F3A2C" w:rsidRPr="009F3A2C">
        <w:rPr>
          <w:b/>
        </w:rPr>
        <w:t xml:space="preserve"> is extended by UE-</w:t>
      </w:r>
      <w:proofErr w:type="spellStart"/>
      <w:r w:rsidR="009F3A2C" w:rsidRPr="009F3A2C">
        <w:rPr>
          <w:b/>
        </w:rPr>
        <w:t>gNB</w:t>
      </w:r>
      <w:proofErr w:type="spellEnd"/>
      <w:r w:rsidR="009F3A2C" w:rsidRPr="009F3A2C">
        <w:rPr>
          <w:b/>
        </w:rPr>
        <w:t>-RTT in NTN.</w:t>
      </w:r>
    </w:p>
    <w:p w14:paraId="7510E22C" w14:textId="0AEBF3F5" w:rsidR="0002208B" w:rsidRPr="0002208B" w:rsidRDefault="0002208B" w:rsidP="00552344">
      <w:pPr>
        <w:rPr>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9F4AF51" w:rsidR="00AC7D8C" w:rsidRDefault="00B42C2E" w:rsidP="00B166DB">
      <w:r>
        <w:t>In this contribution</w:t>
      </w:r>
      <w:r w:rsidR="00A93AFE" w:rsidRPr="00A93AFE">
        <w:t xml:space="preserve">, </w:t>
      </w:r>
      <w:r>
        <w:t>we</w:t>
      </w:r>
      <w:r w:rsidR="00A93AFE" w:rsidRPr="00A93AFE">
        <w:t xml:space="preserve"> have the following </w:t>
      </w:r>
      <w:r w:rsidR="006D5C24">
        <w:t>observations</w:t>
      </w:r>
      <w:r w:rsidR="00AB7D70">
        <w:t xml:space="preserve"> and proposal</w:t>
      </w:r>
      <w:r>
        <w:t xml:space="preserve"> </w:t>
      </w:r>
      <w:r w:rsidR="00093591">
        <w:t>for</w:t>
      </w:r>
      <w:r>
        <w:t xml:space="preserve"> the</w:t>
      </w:r>
      <w:r w:rsidRPr="00A93AFE">
        <w:t xml:space="preserve"> </w:t>
      </w:r>
      <w:r>
        <w:t>extension of</w:t>
      </w:r>
      <w:r w:rsidRPr="00A93AFE">
        <w:t xml:space="preserve"> </w:t>
      </w:r>
      <w:proofErr w:type="spellStart"/>
      <w:r w:rsidRPr="00A914BB">
        <w:t>configuredGrantTimer</w:t>
      </w:r>
      <w:proofErr w:type="spellEnd"/>
      <w:r>
        <w:t xml:space="preserve"> </w:t>
      </w:r>
      <w:r w:rsidRPr="00A93AFE">
        <w:t>in NTN</w:t>
      </w:r>
      <w:r w:rsidR="00AB7D70">
        <w:t>:</w:t>
      </w:r>
    </w:p>
    <w:p w14:paraId="19EAA522" w14:textId="77777777" w:rsidR="00B42C2E" w:rsidRPr="00A93AFE" w:rsidRDefault="00B42C2E" w:rsidP="00B42C2E">
      <w:pPr>
        <w:rPr>
          <w:b/>
        </w:rPr>
      </w:pPr>
      <w:r w:rsidRPr="00A93AFE">
        <w:rPr>
          <w:b/>
        </w:rPr>
        <w:t>Observation</w:t>
      </w:r>
      <w:r>
        <w:rPr>
          <w:b/>
        </w:rPr>
        <w:t xml:space="preserve"> 1</w:t>
      </w:r>
      <w:r w:rsidRPr="00A93AFE">
        <w:rPr>
          <w:b/>
        </w:rPr>
        <w:t xml:space="preserve">: </w:t>
      </w:r>
      <w:r>
        <w:rPr>
          <w:b/>
        </w:rPr>
        <w:t>If</w:t>
      </w:r>
      <w:r w:rsidRPr="00A93AFE">
        <w:rPr>
          <w:b/>
        </w:rPr>
        <w:t xml:space="preserve"> the </w:t>
      </w:r>
      <w:proofErr w:type="spellStart"/>
      <w:r w:rsidRPr="003A25CC">
        <w:rPr>
          <w:b/>
        </w:rPr>
        <w:t>configuredGrantTimer</w:t>
      </w:r>
      <w:proofErr w:type="spellEnd"/>
      <w:r>
        <w:t xml:space="preserve"> </w:t>
      </w:r>
      <w:r>
        <w:rPr>
          <w:b/>
        </w:rPr>
        <w:t>value is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466FD011" w14:textId="77777777" w:rsidR="00B42C2E" w:rsidRPr="006D5C24" w:rsidRDefault="00B42C2E" w:rsidP="00B42C2E">
      <w:pPr>
        <w:rPr>
          <w:b/>
        </w:rPr>
      </w:pPr>
      <w:r>
        <w:rPr>
          <w:b/>
        </w:rPr>
        <w:t>Observation 2</w:t>
      </w:r>
      <w:r w:rsidRPr="006D5C24">
        <w:rPr>
          <w:b/>
        </w:rPr>
        <w:t xml:space="preserve">: When CG resources with </w:t>
      </w:r>
      <w:r>
        <w:rPr>
          <w:b/>
        </w:rPr>
        <w:t>short</w:t>
      </w:r>
      <w:r w:rsidRPr="006D5C24">
        <w:rPr>
          <w:b/>
        </w:rPr>
        <w:t xml:space="preserve"> periodicity and small TBS are </w:t>
      </w:r>
      <w:r>
        <w:rPr>
          <w:b/>
        </w:rPr>
        <w:t>utilized for reducing</w:t>
      </w:r>
      <w:r w:rsidRPr="006D5C24">
        <w:rPr>
          <w:b/>
        </w:rPr>
        <w:t xml:space="preserve"> the latency for transmitting BSR, differentiating between far and near UEs could </w:t>
      </w:r>
      <w:r>
        <w:rPr>
          <w:b/>
        </w:rPr>
        <w:t>further</w:t>
      </w:r>
      <w:r w:rsidRPr="006D5C24">
        <w:rPr>
          <w:b/>
        </w:rPr>
        <w:t xml:space="preserve"> im</w:t>
      </w:r>
      <w:r>
        <w:rPr>
          <w:b/>
        </w:rPr>
        <w:t>prove</w:t>
      </w:r>
      <w:r w:rsidRPr="006D5C24">
        <w:rPr>
          <w:b/>
        </w:rPr>
        <w:t xml:space="preserve"> the CG resource availability.</w:t>
      </w:r>
    </w:p>
    <w:p w14:paraId="4060A8F0" w14:textId="63A9A6DD" w:rsidR="00B42C2E" w:rsidRPr="00A914BB" w:rsidRDefault="00B42C2E" w:rsidP="00B42C2E">
      <w:pPr>
        <w:rPr>
          <w:b/>
        </w:rPr>
      </w:pPr>
      <w:r w:rsidRPr="00A914BB">
        <w:rPr>
          <w:b/>
        </w:rPr>
        <w:t>Observation</w:t>
      </w:r>
      <w:r>
        <w:rPr>
          <w:b/>
        </w:rPr>
        <w:t xml:space="preserve"> 3</w:t>
      </w:r>
      <w:r w:rsidRPr="00A914BB">
        <w:rPr>
          <w:b/>
        </w:rPr>
        <w:t xml:space="preserve">: In </w:t>
      </w:r>
      <w:r>
        <w:rPr>
          <w:b/>
        </w:rPr>
        <w:t xml:space="preserve">RRC </w:t>
      </w:r>
      <w:r w:rsidRPr="00A914BB">
        <w:rPr>
          <w:b/>
        </w:rPr>
        <w:t xml:space="preserve">Connected mode, the UE and the network </w:t>
      </w:r>
      <w:r w:rsidR="00A72278">
        <w:rPr>
          <w:b/>
        </w:rPr>
        <w:t>are</w:t>
      </w:r>
      <w:r w:rsidRPr="00A914BB">
        <w:rPr>
          <w:b/>
        </w:rPr>
        <w:t xml:space="preserve"> </w:t>
      </w:r>
      <w:r>
        <w:rPr>
          <w:b/>
        </w:rPr>
        <w:t xml:space="preserve">synchronized with </w:t>
      </w:r>
      <w:r w:rsidR="004E2065">
        <w:rPr>
          <w:b/>
        </w:rPr>
        <w:t>respect</w:t>
      </w:r>
      <w:r>
        <w:rPr>
          <w:b/>
        </w:rPr>
        <w:t xml:space="preserve"> to UE-</w:t>
      </w:r>
      <w:proofErr w:type="spellStart"/>
      <w:r>
        <w:rPr>
          <w:b/>
        </w:rPr>
        <w:t>gNB</w:t>
      </w:r>
      <w:proofErr w:type="spellEnd"/>
      <w:r>
        <w:rPr>
          <w:b/>
        </w:rPr>
        <w:t xml:space="preserve"> RTT</w:t>
      </w:r>
      <w:r w:rsidRPr="00A914BB">
        <w:rPr>
          <w:b/>
        </w:rPr>
        <w:t xml:space="preserve"> via the TA report</w:t>
      </w:r>
      <w:r>
        <w:rPr>
          <w:b/>
        </w:rPr>
        <w:t>ing</w:t>
      </w:r>
      <w:r w:rsidRPr="00A914BB">
        <w:rPr>
          <w:b/>
        </w:rPr>
        <w:t xml:space="preserve"> mechanism.</w:t>
      </w:r>
    </w:p>
    <w:p w14:paraId="7D1D17CB" w14:textId="77777777" w:rsidR="00B42C2E" w:rsidRPr="009F3A2C" w:rsidRDefault="00B42C2E" w:rsidP="00B42C2E">
      <w:pPr>
        <w:rPr>
          <w:b/>
        </w:rPr>
      </w:pPr>
      <w:r w:rsidRPr="009F3A2C">
        <w:rPr>
          <w:b/>
        </w:rPr>
        <w:t xml:space="preserve">Proposal: Value of the </w:t>
      </w:r>
      <w:proofErr w:type="spellStart"/>
      <w:r w:rsidRPr="009F3A2C">
        <w:rPr>
          <w:b/>
        </w:rPr>
        <w:t>configuredGrantTimer</w:t>
      </w:r>
      <w:proofErr w:type="spellEnd"/>
      <w:r w:rsidRPr="009F3A2C">
        <w:rPr>
          <w:b/>
        </w:rPr>
        <w:t xml:space="preserve"> is extended by UE-</w:t>
      </w:r>
      <w:proofErr w:type="spellStart"/>
      <w:r w:rsidRPr="009F3A2C">
        <w:rPr>
          <w:b/>
        </w:rPr>
        <w:t>gNB</w:t>
      </w:r>
      <w:proofErr w:type="spellEnd"/>
      <w:r w:rsidRPr="009F3A2C">
        <w:rPr>
          <w:b/>
        </w:rPr>
        <w:t>-RTT in NTN.</w:t>
      </w:r>
    </w:p>
    <w:p w14:paraId="360F7386" w14:textId="173D616E" w:rsidR="00AB7D70" w:rsidRPr="00ED0B80" w:rsidRDefault="00AB7D70"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lastRenderedPageBreak/>
        <w:t>4</w:t>
      </w:r>
      <w:r w:rsidR="00DF68E7" w:rsidRPr="00D46A4D">
        <w:rPr>
          <w:rFonts w:ascii="Times New Roman" w:hAnsi="Times New Roman"/>
        </w:rPr>
        <w:t xml:space="preserve"> References</w:t>
      </w:r>
    </w:p>
    <w:p w14:paraId="4BDC3A6A" w14:textId="72A040BE" w:rsidR="006D5C24" w:rsidRDefault="00300CA7" w:rsidP="00300CA7">
      <w:pPr>
        <w:pStyle w:val="ListParagraph"/>
        <w:numPr>
          <w:ilvl w:val="0"/>
          <w:numId w:val="1"/>
        </w:numPr>
        <w:overflowPunct/>
        <w:autoSpaceDE/>
        <w:autoSpaceDN/>
        <w:adjustRightInd/>
        <w:spacing w:after="60"/>
        <w:contextualSpacing w:val="0"/>
        <w:textAlignment w:val="auto"/>
      </w:pPr>
      <w:bookmarkStart w:id="3" w:name="_Ref91753294"/>
      <w:r w:rsidRPr="00300CA7">
        <w:t>Draft_R2-116e_Meeting_Report_v2</w:t>
      </w:r>
      <w:bookmarkEnd w:id="3"/>
    </w:p>
    <w:p w14:paraId="21025D85" w14:textId="1A624234" w:rsidR="00300CA7" w:rsidRDefault="00300CA7" w:rsidP="00300CA7">
      <w:pPr>
        <w:pStyle w:val="ListParagraph"/>
        <w:numPr>
          <w:ilvl w:val="0"/>
          <w:numId w:val="1"/>
        </w:numPr>
        <w:overflowPunct/>
        <w:autoSpaceDE/>
        <w:autoSpaceDN/>
        <w:adjustRightInd/>
        <w:spacing w:after="60"/>
        <w:contextualSpacing w:val="0"/>
        <w:textAlignment w:val="auto"/>
      </w:pPr>
      <w:bookmarkStart w:id="4" w:name="_Ref91753378"/>
      <w:r w:rsidRPr="00300CA7">
        <w:t>R2-2111331</w:t>
      </w:r>
      <w:r w:rsidRPr="00300CA7">
        <w:tab/>
        <w:t>[101][NTN] Summary on remaining aspects of timers, HARQ, and LCP including CG/SPS aspects in AI 8.10.2.2</w:t>
      </w:r>
      <w:r w:rsidRPr="00300CA7">
        <w:tab/>
        <w:t>Interdigital</w:t>
      </w:r>
      <w:bookmarkEnd w:id="4"/>
    </w:p>
    <w:p w14:paraId="08E0B495" w14:textId="17DF270E" w:rsidR="00300CA7" w:rsidRDefault="00300CA7" w:rsidP="00300CA7">
      <w:pPr>
        <w:pStyle w:val="ListParagraph"/>
        <w:numPr>
          <w:ilvl w:val="0"/>
          <w:numId w:val="1"/>
        </w:numPr>
        <w:overflowPunct/>
        <w:autoSpaceDE/>
        <w:autoSpaceDN/>
        <w:adjustRightInd/>
        <w:spacing w:after="60"/>
        <w:contextualSpacing w:val="0"/>
        <w:textAlignment w:val="auto"/>
      </w:pPr>
      <w:bookmarkStart w:id="5" w:name="_Ref91753326"/>
      <w:r w:rsidRPr="00300CA7">
        <w:t>Draft_R2-115e_Meeting_Report_v1</w:t>
      </w:r>
      <w:bookmarkEnd w:id="5"/>
    </w:p>
    <w:sectPr w:rsidR="00300CA7"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45D7D" w14:textId="77777777" w:rsidR="007512A7" w:rsidRDefault="007512A7" w:rsidP="00BD754F">
      <w:pPr>
        <w:spacing w:after="0"/>
      </w:pPr>
      <w:r>
        <w:separator/>
      </w:r>
    </w:p>
  </w:endnote>
  <w:endnote w:type="continuationSeparator" w:id="0">
    <w:p w14:paraId="6A23D9B6" w14:textId="77777777" w:rsidR="007512A7" w:rsidRDefault="007512A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97AA0" w14:textId="77777777" w:rsidR="00B9275D" w:rsidRDefault="00B92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B613F" w14:textId="77777777" w:rsidR="00B9275D" w:rsidRDefault="00B92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8344" w14:textId="77777777" w:rsidR="00B9275D" w:rsidRDefault="00B92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C9B2D" w14:textId="77777777" w:rsidR="007512A7" w:rsidRDefault="007512A7" w:rsidP="00BD754F">
      <w:pPr>
        <w:spacing w:after="0"/>
      </w:pPr>
      <w:r>
        <w:separator/>
      </w:r>
    </w:p>
  </w:footnote>
  <w:footnote w:type="continuationSeparator" w:id="0">
    <w:p w14:paraId="30B7199F" w14:textId="77777777" w:rsidR="007512A7" w:rsidRDefault="007512A7" w:rsidP="00BD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1A58D" w14:textId="77777777" w:rsidR="00B9275D" w:rsidRDefault="00B92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79930" w14:textId="77777777" w:rsidR="00B9275D" w:rsidRDefault="00B92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B3162" w14:textId="77777777" w:rsidR="00B9275D" w:rsidRDefault="00B92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772601"/>
    <w:multiLevelType w:val="hybridMultilevel"/>
    <w:tmpl w:val="B0565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47060F"/>
    <w:multiLevelType w:val="hybridMultilevel"/>
    <w:tmpl w:val="9F4233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3"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8"/>
  </w:num>
  <w:num w:numId="10">
    <w:abstractNumId w:val="28"/>
  </w:num>
  <w:num w:numId="11">
    <w:abstractNumId w:val="31"/>
  </w:num>
  <w:num w:numId="12">
    <w:abstractNumId w:val="35"/>
  </w:num>
  <w:num w:numId="13">
    <w:abstractNumId w:val="22"/>
  </w:num>
  <w:num w:numId="14">
    <w:abstractNumId w:val="20"/>
  </w:num>
  <w:num w:numId="15">
    <w:abstractNumId w:val="41"/>
  </w:num>
  <w:num w:numId="16">
    <w:abstractNumId w:val="9"/>
  </w:num>
  <w:num w:numId="17">
    <w:abstractNumId w:val="29"/>
  </w:num>
  <w:num w:numId="18">
    <w:abstractNumId w:val="17"/>
  </w:num>
  <w:num w:numId="19">
    <w:abstractNumId w:val="39"/>
  </w:num>
  <w:num w:numId="20">
    <w:abstractNumId w:val="4"/>
  </w:num>
  <w:num w:numId="21">
    <w:abstractNumId w:val="32"/>
  </w:num>
  <w:num w:numId="22">
    <w:abstractNumId w:val="5"/>
  </w:num>
  <w:num w:numId="23">
    <w:abstractNumId w:val="3"/>
  </w:num>
  <w:num w:numId="24">
    <w:abstractNumId w:val="21"/>
  </w:num>
  <w:num w:numId="25">
    <w:abstractNumId w:val="25"/>
  </w:num>
  <w:num w:numId="26">
    <w:abstractNumId w:val="45"/>
  </w:num>
  <w:num w:numId="27">
    <w:abstractNumId w:val="8"/>
  </w:num>
  <w:num w:numId="28">
    <w:abstractNumId w:val="44"/>
  </w:num>
  <w:num w:numId="29">
    <w:abstractNumId w:val="15"/>
  </w:num>
  <w:num w:numId="30">
    <w:abstractNumId w:val="27"/>
  </w:num>
  <w:num w:numId="31">
    <w:abstractNumId w:val="19"/>
  </w:num>
  <w:num w:numId="32">
    <w:abstractNumId w:val="37"/>
  </w:num>
  <w:num w:numId="33">
    <w:abstractNumId w:val="13"/>
  </w:num>
  <w:num w:numId="34">
    <w:abstractNumId w:val="47"/>
  </w:num>
  <w:num w:numId="35">
    <w:abstractNumId w:val="10"/>
  </w:num>
  <w:num w:numId="36">
    <w:abstractNumId w:val="7"/>
  </w:num>
  <w:num w:numId="37">
    <w:abstractNumId w:val="40"/>
  </w:num>
  <w:num w:numId="38">
    <w:abstractNumId w:val="46"/>
  </w:num>
  <w:num w:numId="39">
    <w:abstractNumId w:val="2"/>
  </w:num>
  <w:num w:numId="40">
    <w:abstractNumId w:val="38"/>
  </w:num>
  <w:num w:numId="41">
    <w:abstractNumId w:val="11"/>
  </w:num>
  <w:num w:numId="42">
    <w:abstractNumId w:val="23"/>
  </w:num>
  <w:num w:numId="43">
    <w:abstractNumId w:val="6"/>
  </w:num>
  <w:num w:numId="44">
    <w:abstractNumId w:val="43"/>
  </w:num>
  <w:num w:numId="45">
    <w:abstractNumId w:val="14"/>
  </w:num>
  <w:num w:numId="46">
    <w:abstractNumId w:val="33"/>
  </w:num>
  <w:num w:numId="47">
    <w:abstractNumId w:val="34"/>
  </w:num>
  <w:num w:numId="48">
    <w:abstractNumId w:val="36"/>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5F62"/>
    <w:rsid w:val="00027046"/>
    <w:rsid w:val="00027EB8"/>
    <w:rsid w:val="000306E9"/>
    <w:rsid w:val="000307C2"/>
    <w:rsid w:val="00031806"/>
    <w:rsid w:val="00033D3F"/>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60F7"/>
    <w:rsid w:val="00087FDA"/>
    <w:rsid w:val="00093591"/>
    <w:rsid w:val="00094581"/>
    <w:rsid w:val="000950C4"/>
    <w:rsid w:val="0009659E"/>
    <w:rsid w:val="0009689E"/>
    <w:rsid w:val="00096D24"/>
    <w:rsid w:val="000975F0"/>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4219"/>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5836"/>
    <w:rsid w:val="00146E0E"/>
    <w:rsid w:val="00147A64"/>
    <w:rsid w:val="00147B2C"/>
    <w:rsid w:val="00150638"/>
    <w:rsid w:val="00150899"/>
    <w:rsid w:val="00150907"/>
    <w:rsid w:val="00152C3B"/>
    <w:rsid w:val="00153F2A"/>
    <w:rsid w:val="001540A9"/>
    <w:rsid w:val="00155F66"/>
    <w:rsid w:val="0016085E"/>
    <w:rsid w:val="00160E41"/>
    <w:rsid w:val="0016161D"/>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3632"/>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3A41"/>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3D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6813"/>
    <w:rsid w:val="002A76A5"/>
    <w:rsid w:val="002A7DF7"/>
    <w:rsid w:val="002B0515"/>
    <w:rsid w:val="002B0FB7"/>
    <w:rsid w:val="002B15B0"/>
    <w:rsid w:val="002B2AA5"/>
    <w:rsid w:val="002B38C7"/>
    <w:rsid w:val="002B3CC5"/>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0CA7"/>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2930"/>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0EEA"/>
    <w:rsid w:val="0037269E"/>
    <w:rsid w:val="0037360B"/>
    <w:rsid w:val="00373C0E"/>
    <w:rsid w:val="00373EAC"/>
    <w:rsid w:val="003747BD"/>
    <w:rsid w:val="003748A2"/>
    <w:rsid w:val="00375093"/>
    <w:rsid w:val="00375526"/>
    <w:rsid w:val="00375959"/>
    <w:rsid w:val="0037612A"/>
    <w:rsid w:val="00376513"/>
    <w:rsid w:val="00377670"/>
    <w:rsid w:val="003811D4"/>
    <w:rsid w:val="00381BFE"/>
    <w:rsid w:val="00381F41"/>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25CC"/>
    <w:rsid w:val="003A63F9"/>
    <w:rsid w:val="003A6785"/>
    <w:rsid w:val="003A71FF"/>
    <w:rsid w:val="003B0A25"/>
    <w:rsid w:val="003B1B3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3598"/>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4EAB"/>
    <w:rsid w:val="0047555E"/>
    <w:rsid w:val="00475C2A"/>
    <w:rsid w:val="00476746"/>
    <w:rsid w:val="004776A9"/>
    <w:rsid w:val="00480BB2"/>
    <w:rsid w:val="004824AC"/>
    <w:rsid w:val="00483678"/>
    <w:rsid w:val="004837BC"/>
    <w:rsid w:val="00483D8F"/>
    <w:rsid w:val="004841FD"/>
    <w:rsid w:val="004854D7"/>
    <w:rsid w:val="00486440"/>
    <w:rsid w:val="004866CB"/>
    <w:rsid w:val="00486B79"/>
    <w:rsid w:val="00487AD5"/>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0B5"/>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065"/>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A1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485"/>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488F"/>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175B"/>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1B80"/>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42D"/>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7C4"/>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66B2"/>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5C24"/>
    <w:rsid w:val="006D6106"/>
    <w:rsid w:val="006D6345"/>
    <w:rsid w:val="006E05E6"/>
    <w:rsid w:val="006E27F5"/>
    <w:rsid w:val="006E30CB"/>
    <w:rsid w:val="006E3483"/>
    <w:rsid w:val="006E3DC5"/>
    <w:rsid w:val="006F0EB5"/>
    <w:rsid w:val="006F17FA"/>
    <w:rsid w:val="006F3F74"/>
    <w:rsid w:val="006F41BE"/>
    <w:rsid w:val="006F6504"/>
    <w:rsid w:val="006F703F"/>
    <w:rsid w:val="006F70C2"/>
    <w:rsid w:val="006F7373"/>
    <w:rsid w:val="00700288"/>
    <w:rsid w:val="00700858"/>
    <w:rsid w:val="00700C6C"/>
    <w:rsid w:val="00700F9C"/>
    <w:rsid w:val="007010BD"/>
    <w:rsid w:val="00701D9D"/>
    <w:rsid w:val="007021F9"/>
    <w:rsid w:val="00703589"/>
    <w:rsid w:val="00703AE1"/>
    <w:rsid w:val="00704142"/>
    <w:rsid w:val="007052C3"/>
    <w:rsid w:val="00706FB8"/>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12A7"/>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1B5B"/>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07BF9"/>
    <w:rsid w:val="008107E6"/>
    <w:rsid w:val="008109FA"/>
    <w:rsid w:val="00811490"/>
    <w:rsid w:val="00812C03"/>
    <w:rsid w:val="00813984"/>
    <w:rsid w:val="008140B0"/>
    <w:rsid w:val="00814577"/>
    <w:rsid w:val="008146A3"/>
    <w:rsid w:val="00814C55"/>
    <w:rsid w:val="008158CE"/>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590"/>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3BB3"/>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6A6"/>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4D91"/>
    <w:rsid w:val="0090504E"/>
    <w:rsid w:val="009063D8"/>
    <w:rsid w:val="00906CFA"/>
    <w:rsid w:val="009071FC"/>
    <w:rsid w:val="009108C2"/>
    <w:rsid w:val="00910B9D"/>
    <w:rsid w:val="00910DCA"/>
    <w:rsid w:val="00911999"/>
    <w:rsid w:val="0091287B"/>
    <w:rsid w:val="00915107"/>
    <w:rsid w:val="0091554D"/>
    <w:rsid w:val="00916035"/>
    <w:rsid w:val="00916766"/>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2A2A"/>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6C3"/>
    <w:rsid w:val="009F27CE"/>
    <w:rsid w:val="009F2F11"/>
    <w:rsid w:val="009F3A2C"/>
    <w:rsid w:val="009F40A3"/>
    <w:rsid w:val="009F46EA"/>
    <w:rsid w:val="009F66DC"/>
    <w:rsid w:val="009F7FBE"/>
    <w:rsid w:val="00A005C5"/>
    <w:rsid w:val="00A020E5"/>
    <w:rsid w:val="00A03FB3"/>
    <w:rsid w:val="00A07680"/>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5F80"/>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278"/>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14BB"/>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2C2E"/>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5177"/>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3769"/>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4BAE"/>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1FD9"/>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21A0"/>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4B18"/>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3E1"/>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6783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22EF"/>
    <w:rsid w:val="00DA2C95"/>
    <w:rsid w:val="00DA4FE7"/>
    <w:rsid w:val="00DB020D"/>
    <w:rsid w:val="00DB11C7"/>
    <w:rsid w:val="00DB154D"/>
    <w:rsid w:val="00DB1A89"/>
    <w:rsid w:val="00DB1AF2"/>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698"/>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4B37"/>
    <w:rsid w:val="00E75632"/>
    <w:rsid w:val="00E75837"/>
    <w:rsid w:val="00E75B12"/>
    <w:rsid w:val="00E768D4"/>
    <w:rsid w:val="00E76BAA"/>
    <w:rsid w:val="00E777C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1D1E"/>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0B80"/>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87D"/>
    <w:rsid w:val="00FA7F65"/>
    <w:rsid w:val="00FB044F"/>
    <w:rsid w:val="00FB0FF9"/>
    <w:rsid w:val="00FB11B9"/>
    <w:rsid w:val="00FB1C64"/>
    <w:rsid w:val="00FB251D"/>
    <w:rsid w:val="00FB2E06"/>
    <w:rsid w:val="00FB3984"/>
    <w:rsid w:val="00FB3AF3"/>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4CA"/>
    <w:rsid w:val="00FD08FF"/>
    <w:rsid w:val="00FD1998"/>
    <w:rsid w:val="00FD1DAC"/>
    <w:rsid w:val="00FD2284"/>
    <w:rsid w:val="00FD2B67"/>
    <w:rsid w:val="00FD2EE1"/>
    <w:rsid w:val="00FD3070"/>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4B10D-8210-47C8-9F94-17C90ABF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2022-01-10T19:39:00Z</dcterms:modified>
</cp:coreProperties>
</file>